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贵州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水利工程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水利工程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建设质量管理小组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活动成果评价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办法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第一章 总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第一条 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协助有关部门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水利工程建设质量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监督与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，规范水利工程建设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质量管理小组（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简称QC小组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活动成果评价工作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及行业有关规定，结合我省实际，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制订本办法。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质量管理小组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是指由生产、服务及管理等工作岗位的员工自愿结合，围绕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组织的经营战略、方针目标和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工程建设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现场存在的问题，以改进质量、保障安全、节能降耗、改善环境、提高人的素质和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经济效益为目的，运用质量管理理论和方法开展活动的团队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bidi="ar"/>
        </w:rPr>
        <w:t>亦称QC小组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第三条 凡贵州省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水利工程协会（下称协会）会员单位以本组织及工程建设项目名义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开展的QC小组活动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和QC小组成果评价工作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使用本办法。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第四条 QC小组活动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和QC小组成果评价工作接受贵州省水利厅等有关部门的指导、监督。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应广泛开展群众性的QC小组活动，做好宣传培训、组织发动和推进工作，并为开展活动提供必要的条件，创造良好的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活动氛围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应具有明确的目的性、广泛的群众性、高度的民主性和严密的科学性。开展QC小组活动，应与企业的生产经营、项目管理、班组建设、技术革新和合理化建议以及节能减排、推广应用新技术、新产品、新材料、新工艺等活动相结合，并制订活动计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组建QC小组，应遵循“自愿参加、上下结合、实事求是、灵活多样”的基本原则。为便于自主开展现场活动，小组人数一般以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～10人为宜。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QC小组活动课题要体现“小、实、活、新”的特点。按照小组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人员与活动课题的特点，可组建现场型、攻关型、管理型、服务型和创新型等课题小组。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QC小组要运用全面质量管理理论，采用 PDCA 循环程序，运用统计技术和方法开展活动。要注重实效，以事实为依据，用数据说话，注重活动过程和活动结果，并做到专业技术和管理技术相结合，及时总结活动成果。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第三章 教育与活动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可根据实际需要，对QC小组组长、活动骨干、成员不断进行分层次深化教育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和激励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条 QC小组人员要不断学习、借鉴、消化、吸收国内外先进的质量管理经验，努力做到专业技术与管理技术相结合，并根据实际需要，恰当应用统计工具和其他科学方法。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QC小组活动取得数据和各项原始记录要妥善保存；活动记录应完整、真实，并能反映活动的全过程。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核实和确认，并达到所制定目标。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活动成果应与活动记录的内容一致，层次分明、前后连贯、符合逻辑，QC工具应用正确、适宜。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成果发表人应是本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QC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小组人员，发表内容通俗易懂，应以图、表、数据为主，文字为辅，生动活泼。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申报与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每年组织一次QC小组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成果评价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总结交流QC小组活动的先进经验，宣传和推广QC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成果。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第十六条 QC小组成果评价的申报单位及QC小组成员须为我协会单位会员及个人会员。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QC小组申报时间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为每年4月至6月。申报单位在规定时间可登陆协会网站（网址：http://www.gzwea.com）“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考核评价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窗口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”进行网上申报，申报完成后打印 A4 版纸质资料一份，与其他申报资料装订成册后报送协会秘书处。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月至10月进行。申报QC小组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成果评价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需满足以下条件：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（一）小组活动成果是近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年取得的成果；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（二）小组活动成果显著，有推广和应用价值；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申报QC小组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成果评价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需提供以下材料：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贵州省水利工程建设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QC小组成果申报表（附件 1）；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贵州省水利工程建设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（附件2）纸质装订资料和电子资料；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第十九条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QC小组成果评价工作由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实施，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协会秘书处负责组建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技术评审委员会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（简称评委会）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评委会由5人及以上相关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组成（单数），从协会专家库中按需要类别产生并遵循回避原则。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第二十条 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成果评价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要坚持公平、公正、公开原则，严格按照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标准，综合评价QC小组活动的真实性、科学性、有效性和先进性。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第二十一条 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评价采用对其活动成果评价的方式进行，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分为资料评价和发表评价。资料评价采用专家审阅资料方式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成绩的 60%；发表评价采用现场发布会方式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成绩的40%。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第二十二条 QC小组的资料评价由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秘书处组织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专家完成。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通过审查申报资料，根据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标准对QC小组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成果进行打分，取各专家评分的平均分作为该成果的资料评价成绩。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第二十三条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QC小组的发表评价在协会秘书处举办的QC小组活动成果交流会上通过活动成果（PPT）现场发表形式进行。活动成果发表完毕后由评委会打分，取各评审专家评分的平均分作为该成果的发表评价成绩。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第二十四条 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活动成果最终成绩由资料评价和发表评价分数组成，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由协会秘书处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进行汇总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QC活动小组成果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等次</w:t>
      </w:r>
      <w:r>
        <w:rPr>
          <w:rFonts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、三等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其中，一等成果最终成绩得分90分及以上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，二等成果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最终成绩得分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80分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89分，三等成果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最终成绩得分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70分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79分。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被评为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等成果的，由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对外公布，报有关部门备案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向获得QC小组评价等次的QC小组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认定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第五章 成果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固化与运用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为提升管理、提高质量、改进服务、降低消耗、提高绩效，QC小组活动的成果应形成相适应的技术规范、图纸、作业指导书、工艺文件、工法、专利和管理制度等。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第二十六条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QC小组所在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单位可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依据有关规定并结合本单位实际，向持续开展活动、成效显著的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QC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和个人给予相应的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 获得QC小组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活动成果评价等次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可作为所在单位及QC小组成员信用评价、质量创优、职称评审、科技成果申报等活动的业绩参考依据，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可择优推荐参与更高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QC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第六章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申报单位在评价工作中，不得弄虚作假，不得行贿送礼。对违反者，视其情节轻重，给予批评、警告、直至撤消申报和认定资格，并在协会公众网通报。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评委会及相关专家要秉公评价，严守纪律，自觉抵制不正之风。对违反者，视其情节轻重，给予批评、警告或取消其评价工作资格，并在协会公众网通报。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有关工作人员在评价工作中玩忽职守、滥用职权、徇私舞弊的，按行业自律有关规定处罚并在协会公众网通报；构成犯罪的，依法追究其法律责任。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三十一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本办法由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三十二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条 本办法自公布之日起实施。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tabs>
          <w:tab w:val="left" w:pos="204"/>
        </w:tabs>
        <w:jc w:val="left"/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贵州省水利工程建设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QC小组成果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5"/>
        <w:tblpPr w:leftFromText="180" w:rightFromText="180" w:vertAnchor="text" w:horzAnchor="page" w:tblpXSpec="center" w:tblpY="672"/>
        <w:tblOverlap w:val="never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483"/>
        <w:gridCol w:w="1796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QC小组名称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课题类型（√）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现场型（） 攻关型（） 管理型（） 服务型（） 创新型（）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小组活动时间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小组部门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课题组长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小组人数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公司或单位地址</w:t>
            </w:r>
          </w:p>
        </w:tc>
        <w:tc>
          <w:tcPr>
            <w:tcW w:w="5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atLeast"/>
          <w:jc w:val="center"/>
        </w:trPr>
        <w:tc>
          <w:tcPr>
            <w:tcW w:w="827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QC小组简介和活动过程：（字数1000以内）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申报单位（公章）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月    日</w:t>
            </w:r>
          </w:p>
        </w:tc>
      </w:tr>
    </w:tbl>
    <w:p>
      <w:pPr>
        <w:widowControl/>
        <w:ind w:firstLine="620" w:firstLineChars="200"/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304" w:right="1701" w:bottom="1304" w:left="1701" w:header="851" w:footer="1020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rPr>
          <w:rFonts w:ascii="仿宋_GB2312" w:hAnsi="仿宋" w:eastAsia="仿宋_GB2312"/>
          <w:b/>
          <w:bCs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b/>
          <w:bCs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：成果报告模板及要求</w:t>
      </w:r>
    </w:p>
    <w:p>
      <w:pPr>
        <w:adjustRightInd w:val="0"/>
        <w:snapToGrid w:val="0"/>
        <w:spacing w:after="156" w:afterLines="50"/>
        <w:rPr>
          <w:rFonts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封面</w:t>
      </w:r>
    </w:p>
    <w:p>
      <w:pPr>
        <w:adjustRightInd w:val="0"/>
        <w:snapToGrid w:val="0"/>
        <w:rPr>
          <w:rFonts w:eastAsia="仿宋_GB2312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49530</wp:posOffset>
                </wp:positionV>
                <wp:extent cx="5276215" cy="7432040"/>
                <wp:effectExtent l="4445" t="5080" r="1524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743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贵州省水利工程建设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QC小组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活动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630" w:firstLineChars="300"/>
                            </w:pPr>
                          </w:p>
                          <w:p>
                            <w:pPr>
                              <w:spacing w:line="312" w:lineRule="auto"/>
                              <w:ind w:firstLine="960" w:firstLineChars="3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课题名称：</w:t>
                            </w:r>
                          </w:p>
                          <w:p>
                            <w:pPr>
                              <w:spacing w:line="312" w:lineRule="auto"/>
                              <w:ind w:firstLine="960" w:firstLineChars="3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QC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小组名称：</w:t>
                            </w:r>
                          </w:p>
                          <w:p>
                            <w:pPr>
                              <w:spacing w:line="312" w:lineRule="auto"/>
                              <w:ind w:firstLine="960" w:firstLineChars="3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申报单位（盖章）：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spacing w:line="312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3.9pt;height:585.2pt;width:415.45pt;z-index:251660288;mso-width-relative:page;mso-height-relative:page;" fillcolor="#FFFFFF" filled="t" stroked="t" coordsize="21600,21600" o:gfxdata="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MCPLjYAAAACQEAAA8AAAAAAAAA&#10;AQAgAAAAIgAAAGRycy9kb3ducmV2LnhtbFBLAQIUABQAAAAIAIdO4kA9yzvhSgIAAJY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贵州省水利工程建设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QC小组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活动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成果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报告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630" w:firstLineChars="300"/>
                      </w:pPr>
                    </w:p>
                    <w:p>
                      <w:pPr>
                        <w:spacing w:line="312" w:lineRule="auto"/>
                        <w:ind w:firstLine="960" w:firstLineChars="300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课题名称：</w:t>
                      </w:r>
                    </w:p>
                    <w:p>
                      <w:pPr>
                        <w:spacing w:line="312" w:lineRule="auto"/>
                        <w:ind w:firstLine="960" w:firstLineChars="300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QC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小组名称：</w:t>
                      </w:r>
                    </w:p>
                    <w:p>
                      <w:pPr>
                        <w:spacing w:line="312" w:lineRule="auto"/>
                        <w:ind w:firstLine="960" w:firstLineChars="300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申报单位（盖章）：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spacing w:line="312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>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>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eastAsia="方正小标宋_GBK"/>
          <w:snapToGrid w:val="0"/>
          <w:color w:val="000000" w:themeColor="text1"/>
          <w:spacing w:val="40"/>
          <w:kern w:val="0"/>
          <w:sz w:val="36"/>
          <w:szCs w:val="36"/>
          <w:highlight w:val="yellow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56" w:afterLines="50"/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156" w:afterLines="50"/>
        <w:rPr>
          <w:rFonts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330835</wp:posOffset>
                </wp:positionV>
                <wp:extent cx="5267960" cy="7705725"/>
                <wp:effectExtent l="4445" t="4445" r="234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70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26.05pt;height:606.75pt;width:414.8pt;z-index:-251657216;mso-width-relative:page;mso-height-relative:page;" fillcolor="#FFFFFF" filled="t" stroked="t" coordsize="21600,21600" o:gfxdata="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4CUztYAAAAKAQAADwAAAAAAAAABACAAAAAi&#10;AAAAZHJzL2Rvd25yZXYueG1sUEsBAhQAFAAAAAgAh07iQJtEPPNFAgAAlgQAAA4AAAAAAAAAAQAg&#10;AAAAJQEAAGRycy9lMm9Eb2MueG1sUEsFBgAAAAAGAAYAWQEAANw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目录</w:t>
      </w:r>
    </w:p>
    <w:p>
      <w:pPr>
        <w:spacing w:line="312" w:lineRule="auto"/>
        <w:ind w:firstLine="280" w:firstLineChars="10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  录</w:t>
      </w:r>
    </w:p>
    <w:p>
      <w:pPr>
        <w:spacing w:line="312" w:lineRule="auto"/>
        <w:ind w:firstLine="200" w:firstLineChars="100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（现场型、攻关型、管理型和服务型课题）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第1章 工程概况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第2章 小组简介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第3章 选择课题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第4章 现状调查（设定目标）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第5章 设定目标（目标可行性分析）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第6章 原因分析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第7章 确定主要原因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第8章 制定对策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第9章 对策实施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第10章 检查效果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第11章 巩固措施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第12章 总结回顾与今后的打算</w:t>
      </w:r>
    </w:p>
    <w:p>
      <w:pPr>
        <w:spacing w:line="312" w:lineRule="auto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200" w:firstLineChars="100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（创新型课题）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第1章 工程概况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第2章 小组简介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第3章 选择课题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第4章 设定目标及目标可行性分析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第5章 提出方案并确定最佳方案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第6章 制定对策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第7章 对策实施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第8章 检查效果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第9章 标准化</w:t>
      </w:r>
    </w:p>
    <w:p>
      <w:pPr>
        <w:spacing w:line="312" w:lineRule="auto"/>
        <w:ind w:firstLine="210" w:firstLineChars="100"/>
        <w:rPr>
          <w:rFonts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第10章</w:t>
      </w:r>
      <w:r>
        <w:rPr>
          <w:rFonts w:hint="eastAsia" w:ascii="黑体" w:hAnsi="黑体" w:eastAsia="黑体"/>
          <w:snapToGrid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总结回顾与今后的打算</w:t>
      </w:r>
    </w:p>
    <w:p>
      <w:pPr>
        <w:spacing w:line="312" w:lineRule="auto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200" w:firstLineChars="100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注：成果报告目录为推荐性的，小组也可根据活动情况设定成果报告章节。</w:t>
      </w:r>
    </w:p>
    <w:p>
      <w:pPr>
        <w:spacing w:line="312" w:lineRule="auto"/>
        <w:rPr>
          <w:rFonts w:ascii="黑体" w:hAnsi="黑体" w:eastAsia="黑体"/>
          <w:snapToGrid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40"/>
          <w:pgMar w:top="1440" w:right="1797" w:bottom="1440" w:left="1797" w:header="851" w:footer="1020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w w:val="97"/>
          <w:sz w:val="32"/>
          <w:szCs w:val="32"/>
          <w14:textFill>
            <w14:solidFill>
              <w14:schemeClr w14:val="tx1"/>
            </w14:solidFill>
          </w14:textFill>
        </w:rPr>
        <w:t>成果报告要求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（一）报告格式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1.封面。“贵州省水利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工程建设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QC小组活动成果报告”为黑体小一加粗，“课题名称、QC小组名称、申报单位和日期”为宋体三号；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2.目录。“目录”为黑体四号，居中；目录内容为黑体五号，左对齐；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3.标题。一级标题如“第1章 项目概况”为黑体小三号，居中；二级及以下标题如“3.1”、“3.1.1”为黑体四号，均左对齐；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4.正文。汉字为宋体小四号，英文和数字为Times New Roman，行间距为1.5倍行距；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5.印刷。纸张尺寸为A4 (210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sym w:font="Symbol" w:char="F0B4"/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297mm)，采用双面印刷，图片彩色印刷，文字黑白印刷；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6.页码。从正文开始按阿拉伯数字“1，2，3…”连续编排，位于页面底端居中；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7.装订顺序。封面、目录、正文。采用胶装。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（二）字数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8"/>
          <w:sz w:val="30"/>
          <w:szCs w:val="30"/>
          <w14:textFill>
            <w14:solidFill>
              <w14:schemeClr w14:val="tx1"/>
            </w14:solidFill>
          </w14:textFill>
        </w:rPr>
        <w:t>正文字数在1万字以内。</w:t>
      </w:r>
    </w:p>
    <w:p>
      <w:pPr>
        <w:spacing w:line="312" w:lineRule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7" w:h="16840"/>
          <w:pgMar w:top="1440" w:right="1797" w:bottom="1440" w:left="1797" w:header="851" w:footer="1020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现场型、攻关型、管理型、服务型课题成果资料评价表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（1）项目概括。针对工程项目开展的课题，除描述工程特点外，应补充工程照片或效果图；针对管理、制造、运行等组织开展的课题，应介绍管理对象、生产产品、运行项目等情况。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（2）小组概括。列出小组简介表，包括：小组名称、小组注册号、课题注册号、Q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C知识培训情况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小组成员和分工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活动时间区间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对活动开展有历史的小组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可简单介绍小组获得的荣誉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小组成员控制在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（1）所选课题与上级方针目标相结合，或是本小组现场急需解决的质量、安全、环保、工期、成本等问题。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（2）课题名称应简洁明确，直接针对所存在的问题。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（3）现状调查数据应充分，并通过分析明确问题或问题症结。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）现状调查为制定目标提供依据。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（5）目标设定有依据、可量化。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原因分析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（1）针对问题或问题症结分析原因，因果关系应明确、清楚。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（2）原因分析到可直接采取对策的程度。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（3）主要原因从末端因素中选取。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（4）用现场测量、试验和调查分析的方式对所有末端因素逐一确认，将末端因素对问题或问题症结的影响程度作为判定主要原因的依据。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（1）针对所确定的主要原因，逐条提出不同对策，必要时进行对策多方案评价和选择。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（2）对策应按照5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W1H原则制定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（3）应按对策表逐条实施，实施后检查对策目标是否完成及有无效果，必要时，验证实施结果在安全、质量、管理、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成本等方面的负面影响。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（1）将取得效果与实施前现状比较，确认改进的有效性，与所指定的目标比较，检查是否已达到。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（2）取得经济效益的计算实事求是。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（3）必要时，对无形效果进行评价。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（4）实施中的有效措施已纳入有关标准，并按新标准实施。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）改进后的效果能维持、巩固在良好水准，并按新标准实施。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（1）小组课题体现“小、实、活、新”特色，即选题小、活动实、活动形式灵活、活动方式新颖。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（2）统计方法应用有创新和效果。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创新型课题成果资料评价表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概括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（1）项目概括。针对工程项目开展的课题，除描述工程特点外，应补充工程照片或效果图；针对管理、制造、运行等组织开展的课题，应介绍管理对象、生产产品、运行项目等情况。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（2）小组概括。列出小组简介表，包括：小组名称、小组注册号、课题注册号、Q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C知识培训情况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小组成员和分工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活动时间区间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对活动开展有历史的小组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可简单介绍小组获得的荣誉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小组成员控制在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3～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（1）题目选定应具有创新的必要性。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（2）选题借鉴已有的知识、经验等。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（3）目标具有挑战性、有量化的目标和可行性分析。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提出方案并确定最佳方案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（1）提出的总体方案具有创新型、独立性、分级方案具有可比性。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（2）方案分解应逐层展开到可实施的具体方案。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（3）用事实和数据对经过整理的方案进行逐一分析、论证和评价。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（4）用现场测量、试验和调查分析的方式确定最佳方案。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（1）按“5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”原则制定对策表，对策明确、对策目标可量化、措施具体。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（2）针对在最佳方案分解中确定的可实施的具体方案，逐项制定对策。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）按照制定的对策表逐条实施方案。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）每条方案措施实施后，检查相应目标的实施效果极其有效性、必要时，验证实施结果在安全、质量、管理、成本等方面的负面影响，并调整、修正措施。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（1）检查小组设定的目标，确认课题目标的完成情况。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（2）必要时，确认小组创新成果的经济效益和社会效益。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（3）将有推广价值的创新成果进行标准化，形成相应的技术标准、图纸、工艺文件、作业指导书或管理制度等。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（4）对专项或一次性的创新成果，应将创新过程相关材料存档备案。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充分体现小组成员的创造性，成果有启发和借鉴意义。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ind w:firstLine="560" w:firstLineChars="200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宋体" w:hAnsi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现场型、攻关型、管理型、服务型课题成果发表评价表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（1）所选课题与上级方针目标相结合，或是本小组现场急需解决的质量、安全、环保、工期、成本等问题。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（2）课题名称应简洁明确，直接针对所存在的问题。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（3）现状调查数据应充分，并通过分析明确问题或问题症结。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（4）现状调查为制定目标提供依据。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（5）目标设定有依据、可量化。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原因分析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（1）针对问题或者问题症结分析原因，因果关系应明确、清楚。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（2）原因分析到可直接采取对策的程度。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（3）主要原因从末端因素中选取。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（4）用现场测量、试验和调查分析的方式对所有末端因素逐一确认，将末端因素对问题或问题症结的影响程度作为判定主要原因的依据。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（1）针对所确定的主要原因，逐条提出不同对策，必要时进行对策多方案评价和选择。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（2）对策应按5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W1H确定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（3）应按对策表逐条实施，实施后检查对策目标是否完成及有无效果，必要时，验证实施结果在安全、质量、管理、成本等方面的负面影响。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（1）将取得效果与实施前现状比较，确认改进的有效性，与所指定的目标比较，检查是否已达到。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（2）取得经济效益的计算实事求是。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（3）必要时对无形效果进行评价。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（4）实施中的有效措施已纳入有关标准、并按新标准实施。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（5）改进后的效果能维持、巩固在良好水准，并有数据依据。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（1）P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PT制作简洁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清晰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以图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数据为主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配以标题和文字说明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；内容真实，有逻辑性；不应把成果报告全文“搬家”。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（2）发表人仪表端庄，仪态自然大方，不应背对观众；发表人应是小组成员。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（3）普通话发表，语音洪亮，语言简明，吐字清楚，语气自信，语速有节奏。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（1）小组课题体现“小、实、活、新”特色，即选题小、活动实、活动形式灵活、活动方式新颖。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（2）统计方法应用有创新和效果。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2"/>
        <w:jc w:val="center"/>
        <w:rPr>
          <w:rFonts w:ascii="宋体" w:hAnsi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创新型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课题成果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发表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评价表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95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选题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（1）题目选定应具有创新的必要性。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（2）选题借鉴已有的知识、经验等。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（3）目标具有挑战性，有量化的目标和可行性分析。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提出方案并确定最佳方案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（1）提出的总体方案具有创新性、独立性，分级方案具有可比性。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（2）方案分解应逐层展开到可实施的具体方案。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（3）用事实和数据对经过整理的方案进行逐一分析、论证和评价。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（4）用现场测量、试验和调查分析的方式确定最佳方案。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对策与实施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（1）按5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W1H原则制定对策表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，对策明确、对策目标可量化、措施具体。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（2）针对在最佳方案分解中确定的可实施的具体方案，逐项制定对策。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（3）按照制定的对策表逐条实施方案。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）每条方案措施实施后，检查相应目标的实施效果及其有效性，必要时，验证实施结果在安全、质量、管理、成本等方面的负面影响，并调整、修正措施。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（5）工具运用正确、适宜。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（1）检查小组设定的目标、确定课题目标的完成情况。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（2）必要时，确认小组创新成果的经济效益和社会效益。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（3）将有推广价值的创新成果进行标准化，形成相应的技术标准、图纸、工艺文件、作业指导书或管理制度。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（4）对专项或一次性的创新成果，应将创新过程相关资料存档备案。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（1）P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PT制作简洁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清晰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以图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数据为主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配以标题和文字说明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内容真实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，有逻辑性；不应把成果报告全文“搬家”。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（2）发表人仪表端庄，仪态自然大方，不应背对观众；发表人应是小组成员。</w:t>
            </w:r>
          </w:p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（3）普通话发表，语音洪亮，语言简洁，吐字清楚，语气自信，语速有节奏。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5955" w:type="dxa"/>
            <w:noWrap w:val="0"/>
            <w:vAlign w:val="top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充分体现小组成员的创造性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成果有启发和借鉴意义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宋体" w:hAnsi="宋体"/>
          <w:b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QC小组活动现场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评价表</w:t>
      </w:r>
    </w:p>
    <w:tbl>
      <w:tblPr>
        <w:tblStyle w:val="5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71"/>
        <w:gridCol w:w="1275"/>
        <w:gridCol w:w="4549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QC小组组织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（1）小组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和课题进行注册登记。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小组活动时，小组成员出勤情况。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小组成员参与组内分工情况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小组活动计划及完成情况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活动情况与活动记录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听取介绍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交流沟通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现场验证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活动过程应按QC小组活动程序开展。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活动记录（包括各项原始数据、调查表、记录等）保存完整、真实。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制定各阶段活动详细计划，每阶段按计划完成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活动记录的内容应与发表材料一致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活动真实性和有效性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现场验证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小组课题对工艺、技术、流程、管理、服务的改进或创新点有改善。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各项改进或创新在专业技术方面科学有效。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取得的经济效益得到财务部门的认可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无形效益得到验证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统计方法运用正确、适宜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成果的维持与巩固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查看记录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现场验证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小组活动课题目标达成，有验证依据。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改进的有效措施已纳入有关标准或制度。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现场已按新标准或制度作业，成果巩固保持在较好水准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活动成果应用于与生产和服务实践，取得效果，其他类似岗位、部门有推广和借鉴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QC小组教育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提问或考试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小组成员掌握QC小组活动内涵与活动程序。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小组成员对方法的掌握程度和水平。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通过本次活动，小组成员质量管理知识和技能水平得到提升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9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注：《QC小组活动现场评价表》用于各级组织对QC小组活动的现场实际考核评价。</w:t>
            </w:r>
          </w:p>
        </w:tc>
      </w:tr>
    </w:tbl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tabs>
        <w:tab w:val="clear" w:pos="8306"/>
      </w:tabs>
      <w:spacing w:line="440" w:lineRule="exact"/>
      <w:ind w:firstLine="360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tabs>
        <w:tab w:val="clear" w:pos="8306"/>
      </w:tabs>
      <w:spacing w:line="440" w:lineRule="exact"/>
      <w:ind w:firstLine="360"/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35033"/>
    <w:multiLevelType w:val="singleLevel"/>
    <w:tmpl w:val="E7E3503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4347D1B"/>
    <w:multiLevelType w:val="singleLevel"/>
    <w:tmpl w:val="F4347D1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OGUwZmRhNGJiNjc4M2QxODRlZjNjOWUyMTg4YTAifQ=="/>
  </w:docVars>
  <w:rsids>
    <w:rsidRoot w:val="54364274"/>
    <w:rsid w:val="01121891"/>
    <w:rsid w:val="026659F0"/>
    <w:rsid w:val="03B8477B"/>
    <w:rsid w:val="049D30F8"/>
    <w:rsid w:val="060379FA"/>
    <w:rsid w:val="09B90AFC"/>
    <w:rsid w:val="0AFE6670"/>
    <w:rsid w:val="0CA57A5D"/>
    <w:rsid w:val="0CB87790"/>
    <w:rsid w:val="0DC7755F"/>
    <w:rsid w:val="0F0B14E3"/>
    <w:rsid w:val="116E2B13"/>
    <w:rsid w:val="1292638E"/>
    <w:rsid w:val="12FB408B"/>
    <w:rsid w:val="14C12F5A"/>
    <w:rsid w:val="14CC5BD9"/>
    <w:rsid w:val="152D239E"/>
    <w:rsid w:val="1539315B"/>
    <w:rsid w:val="164B51D1"/>
    <w:rsid w:val="17996410"/>
    <w:rsid w:val="199926F8"/>
    <w:rsid w:val="19AE61A3"/>
    <w:rsid w:val="19C92FDD"/>
    <w:rsid w:val="1D2576B4"/>
    <w:rsid w:val="1FDE70B6"/>
    <w:rsid w:val="2210107D"/>
    <w:rsid w:val="221B63A0"/>
    <w:rsid w:val="22B97967"/>
    <w:rsid w:val="22F83FEB"/>
    <w:rsid w:val="24AD7057"/>
    <w:rsid w:val="24CC3981"/>
    <w:rsid w:val="25473A61"/>
    <w:rsid w:val="260E7FC9"/>
    <w:rsid w:val="2905246E"/>
    <w:rsid w:val="29440941"/>
    <w:rsid w:val="29491A44"/>
    <w:rsid w:val="2A30050E"/>
    <w:rsid w:val="2C5C1A8E"/>
    <w:rsid w:val="2CC43190"/>
    <w:rsid w:val="31887B58"/>
    <w:rsid w:val="327D4380"/>
    <w:rsid w:val="34244579"/>
    <w:rsid w:val="35413331"/>
    <w:rsid w:val="37C30C14"/>
    <w:rsid w:val="3836588A"/>
    <w:rsid w:val="38A02D03"/>
    <w:rsid w:val="3DBF3C2B"/>
    <w:rsid w:val="3E377C66"/>
    <w:rsid w:val="3FF83425"/>
    <w:rsid w:val="411E335F"/>
    <w:rsid w:val="418370AC"/>
    <w:rsid w:val="44DF1057"/>
    <w:rsid w:val="46641814"/>
    <w:rsid w:val="483B47F6"/>
    <w:rsid w:val="4A743FEF"/>
    <w:rsid w:val="4C650094"/>
    <w:rsid w:val="4DAB7E8A"/>
    <w:rsid w:val="53F36B3A"/>
    <w:rsid w:val="54364274"/>
    <w:rsid w:val="54EE4775"/>
    <w:rsid w:val="55766E6E"/>
    <w:rsid w:val="559B2D78"/>
    <w:rsid w:val="569972B8"/>
    <w:rsid w:val="59B40EB0"/>
    <w:rsid w:val="5CEB0141"/>
    <w:rsid w:val="5D424319"/>
    <w:rsid w:val="5E59557E"/>
    <w:rsid w:val="5EF808F3"/>
    <w:rsid w:val="637F15E3"/>
    <w:rsid w:val="63CC389D"/>
    <w:rsid w:val="655A40B6"/>
    <w:rsid w:val="663F32AC"/>
    <w:rsid w:val="66AB26EF"/>
    <w:rsid w:val="68EF720B"/>
    <w:rsid w:val="69DB31E2"/>
    <w:rsid w:val="6A1011E7"/>
    <w:rsid w:val="6C54286F"/>
    <w:rsid w:val="6C9004FF"/>
    <w:rsid w:val="6E895A0C"/>
    <w:rsid w:val="6FEF5D43"/>
    <w:rsid w:val="706F478E"/>
    <w:rsid w:val="719C15B2"/>
    <w:rsid w:val="73AF7CC3"/>
    <w:rsid w:val="747F7695"/>
    <w:rsid w:val="75D908E5"/>
    <w:rsid w:val="78B95140"/>
    <w:rsid w:val="7BB35E76"/>
    <w:rsid w:val="7CC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6890</Words>
  <Characters>7070</Characters>
  <Lines>0</Lines>
  <Paragraphs>0</Paragraphs>
  <TotalTime>0</TotalTime>
  <ScaleCrop>false</ScaleCrop>
  <LinksUpToDate>false</LinksUpToDate>
  <CharactersWithSpaces>7242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2023-06-19T07:51:00Z</dcterms:created>
  <dc:creator>蒲爱琳</dc:creator>
  <cp:lastModifiedBy>刚哥</cp:lastModifiedBy>
  <cp:lastPrinted>2024-04-17T07:17:34Z</cp:lastPrinted>
  <dcterms:modified xsi:type="dcterms:W3CDTF">2024-04-17T07:27:01Z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94541AEF7D4E4E6D84DA4BF30D4B3294_13</vt:lpwstr>
  </property>
</Properties>
</file>